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4D5B45"/>
          <w:sz w:val="16"/>
        </w:rPr>
        <w:t>FIKTIVER MUSTERFALL – ausschließlich zur Demonstration. Keine Rechtsberatung und nicht zur Verwendung in realen Verfahren.</w:t>
      </w:r>
    </w:p>
    <w:p>
      <w:pPr>
        <w:spacing w:after="280"/>
      </w:pPr>
      <w:r>
        <w:rPr>
          <w:rFonts w:ascii="Arial" w:hAnsi="Arial"/>
          <w:b/>
          <w:color w:val="4F4B4B"/>
          <w:sz w:val="40"/>
        </w:rPr>
        <w:t>Schriftsatz nach gerichtlichem Hinweis</w:t>
      </w:r>
    </w:p>
    <w:p>
      <w:pPr>
        <w:spacing w:after="40"/>
      </w:pPr>
      <w:r>
        <w:rPr>
          <w:b/>
        </w:rPr>
        <w:t xml:space="preserve">Gericht: </w:t>
      </w:r>
      <w:r>
        <w:t>Landgericht Köln – fiktiv</w:t>
      </w:r>
    </w:p>
    <w:p>
      <w:pPr>
        <w:spacing w:after="40"/>
      </w:pPr>
      <w:r>
        <w:rPr>
          <w:b/>
        </w:rPr>
        <w:t xml:space="preserve">Aktenzeichen: </w:t>
      </w:r>
      <w:r>
        <w:t>12 O 145/25 – fiktiv</w:t>
      </w:r>
    </w:p>
    <w:p>
      <w:pPr>
        <w:spacing w:after="40"/>
      </w:pPr>
      <w:r>
        <w:rPr>
          <w:b/>
        </w:rPr>
        <w:t xml:space="preserve">Kanzleizeichen: </w:t>
      </w:r>
      <w:r>
        <w:t>LH-14/25</w:t>
      </w:r>
    </w:p>
    <w:p/>
    <w:p>
      <w:pPr>
        <w:pStyle w:val="Heading1"/>
      </w:pPr>
      <w:r>
        <w:t>Vereinbarter Leistungsumfang</w:t>
      </w:r>
    </w:p>
    <w:p>
      <w:r>
        <w:t>Website und Kundenportal sind getrennt beschrieben; drei Portal-Funktionen sind als Kernfunktionen bezeichnet.</w:t>
      </w:r>
    </w:p>
    <w:p>
      <w:pPr>
        <w:pStyle w:val="Heading1"/>
      </w:pPr>
      <w:r>
        <w:t>Spätere Wünsche</w:t>
      </w:r>
    </w:p>
    <w:p>
      <w:r>
        <w:t>Gestaltungswünsche zu Farben und Bildanordnung sind von den beanstandeten Kernfunktionen zu trennen.</w:t>
      </w:r>
    </w:p>
    <w:p>
      <w:pPr>
        <w:pStyle w:val="Heading1"/>
      </w:pPr>
      <w:r>
        <w:t>Nutzung</w:t>
      </w:r>
    </w:p>
    <w:p>
      <w:r>
        <w:t>Die öffentliche Website wurde vorläufig genutzt; das Portal blieb als Testfassung beanstandet.</w:t>
      </w:r>
    </w:p>
    <w:p>
      <w:pPr>
        <w:pStyle w:val="Heading1"/>
      </w:pPr>
      <w:r>
        <w:t>Beweiszuordnung</w:t>
      </w:r>
    </w:p>
    <w:p>
      <w:r>
        <w:t>Leistungsbeschreibung, Mängelanzeige, Fehlerliste und Screenshots.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24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F5F5F"/>
        <w:sz w:val="14"/>
      </w:rPr>
      <w:t>FIKTIVER MUSTERFALL – ausschließlich zur Demonstration. Keine Rechtsberatung und nicht zur Verwendung in realen Verfahren.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A5A5A"/>
        <w:sz w:val="16"/>
      </w:rPr>
      <w:t>Fiktiver Musterfall Hartmann ./. Pixelwerft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4F5E4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58634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58634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Schriftsatz nach gerichtlichem Hinweis</dc:title>
  <dc:subject>FIKTIVER MUSTERFALL – ausschließlich zur Demonstration. Keine Rechtsberatung und nicht zur Verwendung in realen Verfahren.</dc:subject>
  <dc:creator>Objectpark Software – fiktiver Musterfall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